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FC" w:rsidRPr="00B443FC" w:rsidRDefault="00B443FC" w:rsidP="00B443FC">
      <w:pPr>
        <w:spacing w:before="120" w:after="120"/>
        <w:jc w:val="left"/>
        <w:rPr>
          <w:color w:val="000000"/>
          <w:sz w:val="24"/>
          <w:u w:color="000000"/>
        </w:rPr>
      </w:pPr>
      <w:r w:rsidRPr="00B443FC">
        <w:rPr>
          <w:color w:val="000000"/>
          <w:sz w:val="24"/>
          <w:u w:color="000000"/>
        </w:rPr>
        <w:t xml:space="preserve">Przedszkole Publiczne nr 6 </w:t>
      </w:r>
      <w:r w:rsidRPr="00B443FC">
        <w:rPr>
          <w:color w:val="000000"/>
          <w:sz w:val="24"/>
          <w:u w:color="000000"/>
        </w:rPr>
        <w:br/>
        <w:t>im. Słoneczko</w:t>
      </w:r>
      <w:r w:rsidRPr="00B443FC">
        <w:rPr>
          <w:color w:val="000000"/>
          <w:sz w:val="24"/>
          <w:u w:color="000000"/>
        </w:rPr>
        <w:br/>
        <w:t>98-100 Łask, ul. Batorego 32</w:t>
      </w:r>
      <w:r>
        <w:rPr>
          <w:color w:val="000000"/>
          <w:sz w:val="24"/>
          <w:u w:color="000000"/>
        </w:rPr>
        <w:br/>
        <w:t>tel. 43 675 32 70</w:t>
      </w:r>
    </w:p>
    <w:p w:rsidR="004D1CD8" w:rsidRDefault="0007441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INFORMACJA DODATKOWA</w:t>
      </w:r>
      <w:r w:rsidR="004D1CD8">
        <w:rPr>
          <w:b/>
          <w:color w:val="000000"/>
          <w:sz w:val="24"/>
          <w:u w:color="000000"/>
        </w:rPr>
        <w:br/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7356"/>
        <w:gridCol w:w="1073"/>
      </w:tblGrid>
      <w:tr w:rsidR="0000763F" w:rsidTr="00037174">
        <w:trPr>
          <w:gridAfter w:val="1"/>
          <w:wAfter w:w="1073" w:type="dxa"/>
          <w:trHeight w:hRule="exact" w:val="65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Wprowadzenie do sprawozdania finansowego, obejmuje w szczególności:</w:t>
            </w:r>
          </w:p>
        </w:tc>
      </w:tr>
      <w:tr w:rsidR="0000763F" w:rsidTr="00037174">
        <w:trPr>
          <w:gridAfter w:val="1"/>
          <w:wAfter w:w="1073" w:type="dxa"/>
          <w:trHeight w:hRule="exact" w:val="36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nazwę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FF18D3" w:rsidP="00E06D07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FF18D3">
              <w:rPr>
                <w:b/>
                <w:color w:val="000000"/>
                <w:sz w:val="24"/>
                <w:u w:color="000000"/>
              </w:rPr>
              <w:t xml:space="preserve">Przedszkole Publiczne nr </w:t>
            </w:r>
            <w:r w:rsidR="00E06D07">
              <w:rPr>
                <w:b/>
                <w:color w:val="000000"/>
                <w:sz w:val="24"/>
                <w:u w:color="000000"/>
              </w:rPr>
              <w:t>6</w:t>
            </w:r>
            <w:r w:rsidRPr="00FF18D3">
              <w:rPr>
                <w:b/>
                <w:color w:val="000000"/>
                <w:sz w:val="24"/>
                <w:u w:color="000000"/>
              </w:rPr>
              <w:t xml:space="preserve"> im „</w:t>
            </w:r>
            <w:r w:rsidR="00E06D07">
              <w:rPr>
                <w:b/>
                <w:color w:val="000000"/>
                <w:sz w:val="24"/>
                <w:u w:color="000000"/>
              </w:rPr>
              <w:t>Słoneczko</w:t>
            </w:r>
            <w:r w:rsidRPr="00FF18D3">
              <w:rPr>
                <w:b/>
                <w:color w:val="000000"/>
                <w:sz w:val="24"/>
                <w:u w:color="000000"/>
              </w:rPr>
              <w:t>”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siedzibę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FF18D3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FF18D3">
              <w:rPr>
                <w:b/>
                <w:color w:val="000000"/>
                <w:sz w:val="24"/>
                <w:u w:color="000000"/>
              </w:rPr>
              <w:t>Łask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adres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E06D07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Batorego 32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podstawowy przedmiot działalności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4D1CD8">
            <w:pPr>
              <w:spacing w:before="40"/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spacing w:before="40"/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D</w:t>
            </w:r>
            <w:r w:rsidR="00FF18D3" w:rsidRPr="00A065BE">
              <w:rPr>
                <w:b/>
                <w:color w:val="000000"/>
                <w:sz w:val="20"/>
                <w:szCs w:val="20"/>
                <w:u w:color="000000"/>
              </w:rPr>
              <w:t>zia</w:t>
            </w: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łalność edukacyjna w zakresie wychowania przedszkolnego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wskazanie okresu objętego sprawozdaniem</w:t>
            </w:r>
          </w:p>
        </w:tc>
      </w:tr>
      <w:tr w:rsidR="0000763F" w:rsidTr="00037174">
        <w:trPr>
          <w:gridAfter w:val="1"/>
          <w:wAfter w:w="1073" w:type="dxa"/>
          <w:trHeight w:val="89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D538D0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Sprawozdanie finansowe obejmuje okres od 1 stycznia 20</w:t>
            </w:r>
            <w:r w:rsidR="00D538D0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 xml:space="preserve"> roku do 31 grudnia 20</w:t>
            </w:r>
            <w:r w:rsidR="00D538D0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 xml:space="preserve"> roku oraz porównywalne dane finansowe za okres od 1 stycznia 20</w:t>
            </w:r>
            <w:r w:rsidR="00A065BE">
              <w:rPr>
                <w:color w:val="000000"/>
                <w:sz w:val="20"/>
                <w:u w:color="000000"/>
              </w:rPr>
              <w:t>1</w:t>
            </w:r>
            <w:r w:rsidR="00D538D0">
              <w:rPr>
                <w:color w:val="000000"/>
                <w:sz w:val="20"/>
                <w:u w:color="000000"/>
              </w:rPr>
              <w:t>9</w:t>
            </w:r>
            <w:r>
              <w:rPr>
                <w:color w:val="000000"/>
                <w:sz w:val="20"/>
                <w:u w:color="000000"/>
              </w:rPr>
              <w:t xml:space="preserve"> roku do 31 grudnia 20</w:t>
            </w:r>
            <w:r w:rsidR="00A065BE">
              <w:rPr>
                <w:color w:val="000000"/>
                <w:sz w:val="20"/>
                <w:u w:color="000000"/>
              </w:rPr>
              <w:t>1</w:t>
            </w:r>
            <w:r w:rsidR="00D538D0">
              <w:rPr>
                <w:color w:val="000000"/>
                <w:sz w:val="20"/>
                <w:u w:color="000000"/>
              </w:rPr>
              <w:t>9</w:t>
            </w:r>
            <w:r>
              <w:rPr>
                <w:color w:val="000000"/>
                <w:sz w:val="20"/>
                <w:u w:color="000000"/>
              </w:rPr>
              <w:t xml:space="preserve"> roku</w:t>
            </w:r>
          </w:p>
        </w:tc>
      </w:tr>
      <w:tr w:rsidR="0000763F" w:rsidTr="00037174">
        <w:trPr>
          <w:gridAfter w:val="1"/>
          <w:wAfter w:w="1073" w:type="dxa"/>
          <w:trHeight w:hRule="exact" w:val="409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wskazanie, że sprawozdanie finansowe zawiera dane łączne</w:t>
            </w:r>
          </w:p>
        </w:tc>
      </w:tr>
      <w:tr w:rsidR="0000763F" w:rsidTr="00037174">
        <w:trPr>
          <w:gridAfter w:val="1"/>
          <w:wAfter w:w="1073" w:type="dxa"/>
          <w:trHeight w:hRule="exact" w:val="47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W przypadku pozytywnej odpowiedzi wskazać należy jednostki objęte łącznym sprawozdaniem</w:t>
            </w:r>
          </w:p>
        </w:tc>
      </w:tr>
      <w:tr w:rsidR="0000763F" w:rsidTr="00037174">
        <w:trPr>
          <w:gridAfter w:val="1"/>
          <w:wAfter w:w="1073" w:type="dxa"/>
          <w:trHeight w:val="63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omówienie przyjętych zasad (polityki) rachunkowości, w tym metod wyceny aktywów i pasywów (także amortyzacji)</w:t>
            </w:r>
          </w:p>
        </w:tc>
      </w:tr>
      <w:tr w:rsidR="0000763F" w:rsidTr="00037174">
        <w:trPr>
          <w:gridAfter w:val="1"/>
          <w:wAfter w:w="1073" w:type="dxa"/>
          <w:trHeight w:val="88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Zasady polityki rachunkowości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roku obrotowym </w:t>
            </w:r>
            <w:r w:rsidR="00A065BE">
              <w:rPr>
                <w:color w:val="000000"/>
                <w:sz w:val="20"/>
                <w:u w:color="000000"/>
              </w:rPr>
              <w:t>20</w:t>
            </w:r>
            <w:r w:rsidR="00622E8F">
              <w:rPr>
                <w:color w:val="000000"/>
                <w:sz w:val="20"/>
                <w:u w:color="000000"/>
              </w:rPr>
              <w:t>20</w:t>
            </w:r>
            <w:r w:rsidR="00A065BE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u w:color="000000"/>
              </w:rPr>
              <w:t xml:space="preserve"> stosowano zasady wynikające z ustawy z dnia 29 września 1994 r. o rachunkowości (</w:t>
            </w:r>
            <w:proofErr w:type="spellStart"/>
            <w:r>
              <w:rPr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color w:val="000000"/>
                <w:sz w:val="20"/>
                <w:u w:color="000000"/>
              </w:rPr>
              <w:t>. Dz. U. z 2018 r. poz. 395 z </w:t>
            </w:r>
            <w:proofErr w:type="spellStart"/>
            <w:r>
              <w:rPr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color w:val="000000"/>
                <w:sz w:val="20"/>
                <w:u w:color="000000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>
              <w:rPr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color w:val="000000"/>
                <w:sz w:val="20"/>
                <w:u w:color="000000"/>
              </w:rPr>
              <w:t>. Dz. U. z 2017 r. poz. 1911 z </w:t>
            </w:r>
            <w:proofErr w:type="spellStart"/>
            <w:r>
              <w:rPr>
                <w:color w:val="000000"/>
                <w:sz w:val="20"/>
                <w:u w:color="000000"/>
              </w:rPr>
              <w:t>póź</w:t>
            </w:r>
            <w:proofErr w:type="spellEnd"/>
            <w:r>
              <w:rPr>
                <w:color w:val="000000"/>
                <w:sz w:val="20"/>
                <w:u w:color="000000"/>
              </w:rPr>
              <w:t>. zm.).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b/>
                <w:color w:val="000000"/>
                <w:sz w:val="20"/>
                <w:u w:color="000000"/>
              </w:rPr>
              <w:t xml:space="preserve">Metody wyceny aktywów i pasywów 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Środki trwałe *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Wartości niematerialne i prawne </w:t>
            </w:r>
            <w:r>
              <w:rPr>
                <w:color w:val="000000"/>
                <w:sz w:val="20"/>
                <w:u w:color="000000"/>
              </w:rPr>
              <w:t>*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Amortyzacja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metoda linowa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Należności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 kwocie wymaganej zapłaty z zachowaniem ostrożności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Środki pieniężne w kasie i rachunkach bankowych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 wartości nominalnej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</w:t>
            </w: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Materiały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rzeczywistych cen zakupu, powiększone o niepodlegający odliczeniu podatek VAT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Wynik finansowy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 wiarygodnie ustalonej wartości przy zachowaniu zasady memoriału, współmierności, ostrożności i realizacji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 w:rsidP="00A065BE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9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Dodatkowe informacje i objaśnienia obejmują w szczególności: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167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– podobne przedstawienie stanów i tytułów zmian dotychczasowej amortyzacji lub umorzenia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 w:rsidP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 1.1, 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1.2</w:t>
            </w:r>
          </w:p>
        </w:tc>
      </w:tr>
      <w:tr w:rsidR="0000763F" w:rsidTr="00037174">
        <w:trPr>
          <w:gridAfter w:val="1"/>
          <w:wAfter w:w="1073" w:type="dxa"/>
          <w:trHeight w:hRule="exact" w:val="64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aktualną wartość rynkową środków trwałych, w tym dóbr kultury – o ile jednostka dysponuje takimi informacjami</w:t>
            </w:r>
          </w:p>
        </w:tc>
      </w:tr>
      <w:tr w:rsidR="0000763F" w:rsidTr="00037174">
        <w:trPr>
          <w:gridAfter w:val="1"/>
          <w:wAfter w:w="1073" w:type="dxa"/>
          <w:trHeight w:val="72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Proszę podać kwotę w przypadku posiadania informacji</w:t>
            </w:r>
            <w:r>
              <w:rPr>
                <w:color w:val="000000"/>
                <w:sz w:val="20"/>
                <w:u w:color="000000"/>
              </w:rPr>
              <w:br/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.......................................................................................</w:t>
            </w:r>
          </w:p>
        </w:tc>
      </w:tr>
      <w:tr w:rsidR="0000763F" w:rsidTr="00037174">
        <w:trPr>
          <w:gridAfter w:val="1"/>
          <w:wAfter w:w="1073" w:type="dxa"/>
          <w:trHeight w:hRule="exact" w:val="8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gruntów użytkowanych wieczyście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95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nieamortyzowanych lub nieumarzanych przez jednostkę środków trwałych, używanych na podstawie umów najmu, dzierżawy i innych umów, w tym z tytułu umów leasingu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58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liczbę oraz wartość posiadanych papierów wartościowych, w tym akcji i udziałów oraz dłużnych papierów wartościowych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262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1.7.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1.8.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o stanie rezerw według celu ich utworzenia na początek roku obrotowego, zwiększeniach, wykorzystaniu, rozwiązaniu i stanie końcowym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1.9.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podział   zobowiązań   długoterminowych   o   pozostałym   od   dnia   bilansowego, przewidywanym umową lub wynikającym z innego tytułu prawnego, okresie spłaty: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1 roku do 3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3 do 5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5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25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1.10.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65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zobowiązań zabezpieczonych na majątku jednostki ze wskazaniem charakteru i formy tych zabezpieczeń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1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91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50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otrzymanych przez jednostkę gwarancji i poręczeń niewykazanych w bilansie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wypłaconych środków pieniężnych na świadczenia pracownicze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 w:rsidP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 w:rsidRPr="00A065BE">
              <w:rPr>
                <w:b/>
                <w:color w:val="000000"/>
                <w:sz w:val="20"/>
                <w:u w:color="000000"/>
              </w:rPr>
              <w:t>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 1.15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wysokość odpisów aktualizujących wartość zapasów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 wytworzenia środków trwałych w budowie, w tym odsetki oraz różnice kursowe, które powiększyły koszt wytworzenia środków trwałych w budowie w roku obrotowym</w:t>
            </w:r>
          </w:p>
        </w:tc>
      </w:tr>
      <w:tr w:rsidR="0000763F" w:rsidTr="00037174">
        <w:trPr>
          <w:gridAfter w:val="1"/>
          <w:wAfter w:w="1073" w:type="dxa"/>
          <w:trHeight w:hRule="exact" w:val="36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61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i charakter poszczególnych pozycji przychodów lub kosztów o nadzwyczajnej wartości lub które wystąpiły incydentalnie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07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  <w:r w:rsidR="004D1CD8" w:rsidRPr="00A065BE">
              <w:rPr>
                <w:b/>
                <w:color w:val="000000"/>
                <w:sz w:val="20"/>
                <w:u w:color="000000"/>
              </w:rPr>
              <w:t xml:space="preserve"> </w:t>
            </w:r>
          </w:p>
        </w:tc>
      </w:tr>
      <w:tr w:rsidR="0000763F" w:rsidTr="00037174">
        <w:trPr>
          <w:gridAfter w:val="1"/>
          <w:wAfter w:w="1073" w:type="dxa"/>
          <w:trHeight w:hRule="exact" w:val="941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A065BE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A065BE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4D1CD8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B443FC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Małgorzata </w:t>
            </w:r>
            <w:proofErr w:type="spellStart"/>
            <w:r>
              <w:rPr>
                <w:color w:val="000000"/>
                <w:sz w:val="16"/>
                <w:u w:color="000000"/>
              </w:rPr>
              <w:t>Pronin</w:t>
            </w:r>
            <w:proofErr w:type="spellEnd"/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B443FC" w:rsidP="001C30A2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                          </w:t>
            </w:r>
            <w:r w:rsidR="001C30A2">
              <w:rPr>
                <w:color w:val="000000"/>
                <w:sz w:val="16"/>
                <w:u w:color="000000"/>
              </w:rPr>
              <w:t>2021.03.10</w:t>
            </w:r>
            <w:r>
              <w:rPr>
                <w:color w:val="000000"/>
                <w:sz w:val="16"/>
                <w:u w:color="000000"/>
              </w:rPr>
              <w:t xml:space="preserve">                                                                                             </w:t>
            </w:r>
            <w:bookmarkStart w:id="0" w:name="_GoBack"/>
            <w:bookmarkEnd w:id="0"/>
            <w:r>
              <w:rPr>
                <w:color w:val="000000"/>
                <w:sz w:val="16"/>
                <w:u w:color="000000"/>
              </w:rPr>
              <w:t xml:space="preserve">  mgr Agnieszka Leśniak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</w:tr>
      <w:tr w:rsidR="0000763F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(główny księgowy)</w:t>
            </w:r>
            <w:r w:rsidR="00037174">
              <w:rPr>
                <w:color w:val="000000"/>
                <w:sz w:val="20"/>
                <w:u w:color="000000"/>
              </w:rPr>
              <w:t xml:space="preserve">                        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037174">
            <w:pPr>
              <w:jc w:val="center"/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(rok, miesiąc, dzień)</w:t>
            </w:r>
            <w:r w:rsidR="00037174">
              <w:rPr>
                <w:color w:val="000000"/>
                <w:sz w:val="20"/>
                <w:u w:color="000000"/>
              </w:rPr>
              <w:t xml:space="preserve">                                                                          (kierownik)</w:t>
            </w:r>
          </w:p>
          <w:p w:rsidR="002F0A7F" w:rsidRDefault="002F0A7F" w:rsidP="00037174">
            <w:pPr>
              <w:jc w:val="center"/>
              <w:rPr>
                <w:color w:val="000000"/>
                <w:sz w:val="20"/>
                <w:u w:color="000000"/>
              </w:rPr>
            </w:pPr>
          </w:p>
          <w:p w:rsidR="002F0A7F" w:rsidRDefault="002F0A7F" w:rsidP="0003717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 w:rsidP="002F0A7F">
      <w:pPr>
        <w:keepNext/>
        <w:rPr>
          <w:color w:val="000000"/>
          <w:sz w:val="24"/>
          <w:u w:color="000000"/>
        </w:rPr>
      </w:pPr>
    </w:p>
    <w:sectPr w:rsidR="004D1CD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2F" w:rsidRDefault="00E3002F">
      <w:r>
        <w:separator/>
      </w:r>
    </w:p>
  </w:endnote>
  <w:endnote w:type="continuationSeparator" w:id="0">
    <w:p w:rsidR="00E3002F" w:rsidRDefault="00E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38D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38D0" w:rsidRDefault="00D538D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38D0" w:rsidRDefault="00D53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30A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D538D0" w:rsidRDefault="00D538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2F" w:rsidRDefault="00E3002F">
      <w:r>
        <w:separator/>
      </w:r>
    </w:p>
  </w:footnote>
  <w:footnote w:type="continuationSeparator" w:id="0">
    <w:p w:rsidR="00E3002F" w:rsidRDefault="00E3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F"/>
    <w:rsid w:val="0000763F"/>
    <w:rsid w:val="0001229A"/>
    <w:rsid w:val="00037174"/>
    <w:rsid w:val="00074412"/>
    <w:rsid w:val="0008056E"/>
    <w:rsid w:val="000960AD"/>
    <w:rsid w:val="00163C13"/>
    <w:rsid w:val="001C30A2"/>
    <w:rsid w:val="002C4407"/>
    <w:rsid w:val="002F0A7F"/>
    <w:rsid w:val="0032652A"/>
    <w:rsid w:val="00351872"/>
    <w:rsid w:val="003940A7"/>
    <w:rsid w:val="00451F1F"/>
    <w:rsid w:val="00484672"/>
    <w:rsid w:val="00491992"/>
    <w:rsid w:val="004B5E64"/>
    <w:rsid w:val="004C4C5B"/>
    <w:rsid w:val="004D1CD8"/>
    <w:rsid w:val="004D35DF"/>
    <w:rsid w:val="00510583"/>
    <w:rsid w:val="00581242"/>
    <w:rsid w:val="00590C38"/>
    <w:rsid w:val="005E451A"/>
    <w:rsid w:val="005F4173"/>
    <w:rsid w:val="00603FEF"/>
    <w:rsid w:val="00617E43"/>
    <w:rsid w:val="00622E8F"/>
    <w:rsid w:val="006371A6"/>
    <w:rsid w:val="006431DC"/>
    <w:rsid w:val="00652477"/>
    <w:rsid w:val="006F0D85"/>
    <w:rsid w:val="006F27FB"/>
    <w:rsid w:val="00730CAE"/>
    <w:rsid w:val="007415FB"/>
    <w:rsid w:val="00753F87"/>
    <w:rsid w:val="00784AB6"/>
    <w:rsid w:val="007D6EC9"/>
    <w:rsid w:val="00850EF0"/>
    <w:rsid w:val="008C7C0B"/>
    <w:rsid w:val="00956FA5"/>
    <w:rsid w:val="00A065BE"/>
    <w:rsid w:val="00A227B3"/>
    <w:rsid w:val="00A245D4"/>
    <w:rsid w:val="00A77F20"/>
    <w:rsid w:val="00A86B70"/>
    <w:rsid w:val="00AA2A35"/>
    <w:rsid w:val="00AD5781"/>
    <w:rsid w:val="00AE12E1"/>
    <w:rsid w:val="00AF152E"/>
    <w:rsid w:val="00B443FC"/>
    <w:rsid w:val="00B7157D"/>
    <w:rsid w:val="00BE2A83"/>
    <w:rsid w:val="00C031B4"/>
    <w:rsid w:val="00C11C39"/>
    <w:rsid w:val="00C504E2"/>
    <w:rsid w:val="00C533F4"/>
    <w:rsid w:val="00D538D0"/>
    <w:rsid w:val="00DD4517"/>
    <w:rsid w:val="00E06D07"/>
    <w:rsid w:val="00E3002F"/>
    <w:rsid w:val="00E436AC"/>
    <w:rsid w:val="00F15923"/>
    <w:rsid w:val="00F234F1"/>
    <w:rsid w:val="00F44182"/>
    <w:rsid w:val="00F46440"/>
    <w:rsid w:val="00FD5EBD"/>
    <w:rsid w:val="00FD626D"/>
    <w:rsid w:val="00FE7287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4ECEB-4B4D-4BF2-A07F-940ACD8F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EB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EBD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3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AA95-E758-4773-A565-C69E2DD8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24/2019 z dnia 23 stycznia 2019 r.</vt:lpstr>
      <vt:lpstr/>
    </vt:vector>
  </TitlesOfParts>
  <Company>Burmistrz Łasku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24/2019 z dnia 23 stycznia 2019 r.</dc:title>
  <dc:subject>w sprawie wprowadzenia instrukcji sporządzania rocznego sprawozdania finansowego przez podległe jednostki organizacyjne Gminy Łask oraz sporządzania łącznego sprawozdania finansowego Gminy Łask</dc:subject>
  <dc:creator>bdudaczyk</dc:creator>
  <cp:lastModifiedBy>Dyrektor</cp:lastModifiedBy>
  <cp:revision>5</cp:revision>
  <cp:lastPrinted>2021-02-05T07:42:00Z</cp:lastPrinted>
  <dcterms:created xsi:type="dcterms:W3CDTF">2021-03-12T09:09:00Z</dcterms:created>
  <dcterms:modified xsi:type="dcterms:W3CDTF">2021-03-18T13:31:00Z</dcterms:modified>
  <cp:category>Akt prawny</cp:category>
</cp:coreProperties>
</file>